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5" w:hRule="atLeast"/>
        </w:trPr>
        <w:tc>
          <w:tcPr>
            <w:tcW w:w="8522"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sz w:val="44"/>
                <w:szCs w:val="44"/>
              </w:rPr>
            </w:pPr>
            <w:bookmarkStart w:id="0" w:name="_Toc421651178"/>
          </w:p>
          <w:p>
            <w:pPr>
              <w:jc w:val="center"/>
              <w:rPr>
                <w:rFonts w:ascii="仿宋_GB2312" w:hAnsi="仿宋" w:eastAsia="仿宋_GB2312"/>
                <w:b/>
                <w:sz w:val="44"/>
                <w:szCs w:val="44"/>
              </w:rPr>
            </w:pPr>
          </w:p>
          <w:p>
            <w:pPr>
              <w:jc w:val="center"/>
              <w:rPr>
                <w:rFonts w:ascii="仿宋_GB2312" w:hAnsi="仿宋" w:eastAsia="仿宋_GB2312"/>
                <w:b/>
                <w:sz w:val="44"/>
                <w:szCs w:val="44"/>
              </w:rPr>
            </w:pPr>
            <w:r>
              <w:rPr>
                <w:rFonts w:hint="eastAsia" w:ascii="仿宋_GB2312" w:hAnsi="仿宋" w:eastAsia="仿宋_GB2312"/>
                <w:b/>
                <w:sz w:val="44"/>
                <w:szCs w:val="44"/>
              </w:rPr>
              <w:t>湖北省科协学会（科技）服务中心</w:t>
            </w:r>
          </w:p>
          <w:p>
            <w:pPr>
              <w:jc w:val="center"/>
              <w:rPr>
                <w:rFonts w:ascii="仿宋_GB2312" w:hAnsi="仿宋" w:eastAsia="仿宋_GB2312"/>
                <w:b/>
                <w:sz w:val="44"/>
                <w:szCs w:val="44"/>
              </w:rPr>
            </w:pPr>
            <w:r>
              <w:rPr>
                <w:rFonts w:hint="eastAsia" w:ascii="仿宋_GB2312" w:hAnsi="仿宋" w:eastAsia="仿宋_GB2312"/>
                <w:b/>
                <w:sz w:val="44"/>
                <w:szCs w:val="44"/>
              </w:rPr>
              <w:t>整体支出绩效报告</w:t>
            </w:r>
          </w:p>
          <w:p>
            <w:pPr>
              <w:jc w:val="center"/>
              <w:rPr>
                <w:rFonts w:ascii="仿宋_GB2312" w:hAnsi="仿宋" w:eastAsia="仿宋_GB2312"/>
                <w:b/>
                <w:sz w:val="48"/>
                <w:szCs w:val="48"/>
              </w:rPr>
            </w:pPr>
          </w:p>
          <w:p>
            <w:pPr>
              <w:rPr>
                <w:rFonts w:ascii="仿宋_GB2312" w:hAnsi="仿宋" w:eastAsia="仿宋_GB2312"/>
                <w:b/>
                <w:sz w:val="28"/>
                <w:szCs w:val="28"/>
              </w:rPr>
            </w:pPr>
            <w:r>
              <w:rPr>
                <w:rFonts w:hint="eastAsia" w:ascii="仿宋_GB2312" w:hAnsi="仿宋" w:eastAsia="仿宋_GB2312"/>
                <w:b/>
                <w:sz w:val="28"/>
                <w:szCs w:val="28"/>
              </w:rPr>
              <w:t xml:space="preserve">  </w:t>
            </w:r>
          </w:p>
          <w:p>
            <w:pPr>
              <w:rPr>
                <w:rFonts w:ascii="仿宋_GB2312" w:hAnsi="仿宋" w:eastAsia="仿宋_GB2312"/>
                <w:b/>
                <w:sz w:val="28"/>
                <w:szCs w:val="28"/>
              </w:rPr>
            </w:pPr>
          </w:p>
          <w:p>
            <w:pPr>
              <w:ind w:firstLine="1400" w:firstLineChars="500"/>
              <w:rPr>
                <w:rFonts w:ascii="仿宋_GB2312" w:hAnsi="仿宋" w:eastAsia="仿宋_GB2312"/>
                <w:sz w:val="28"/>
                <w:szCs w:val="28"/>
              </w:rPr>
            </w:pPr>
            <w:r>
              <w:rPr>
                <w:rFonts w:hint="eastAsia" w:ascii="仿宋_GB2312" w:hAnsi="仿宋" w:eastAsia="仿宋_GB2312"/>
                <w:sz w:val="28"/>
                <w:szCs w:val="28"/>
              </w:rPr>
              <w:t>单    位：湖北省科协学会（科技）服务中心</w:t>
            </w:r>
          </w:p>
          <w:p>
            <w:pPr>
              <w:ind w:firstLine="1400" w:firstLineChars="500"/>
              <w:rPr>
                <w:rFonts w:ascii="仿宋_GB2312" w:hAnsi="仿宋" w:eastAsia="仿宋_GB2312"/>
                <w:sz w:val="28"/>
                <w:szCs w:val="28"/>
              </w:rPr>
            </w:pPr>
            <w:r>
              <w:rPr>
                <w:rFonts w:hint="eastAsia" w:ascii="仿宋_GB2312" w:hAnsi="仿宋" w:eastAsia="仿宋_GB2312"/>
                <w:sz w:val="28"/>
                <w:szCs w:val="28"/>
              </w:rPr>
              <w:t>主管部门：湖北省科学技术协会</w:t>
            </w:r>
          </w:p>
          <w:p>
            <w:pPr>
              <w:ind w:firstLine="1400" w:firstLineChars="500"/>
              <w:rPr>
                <w:rFonts w:ascii="仿宋_GB2312" w:hAnsi="仿宋" w:eastAsia="仿宋_GB2312"/>
                <w:sz w:val="28"/>
                <w:szCs w:val="28"/>
              </w:rPr>
            </w:pPr>
            <w:r>
              <w:rPr>
                <w:rFonts w:hint="eastAsia" w:ascii="仿宋_GB2312" w:hAnsi="仿宋" w:eastAsia="仿宋_GB2312"/>
                <w:sz w:val="28"/>
                <w:szCs w:val="28"/>
              </w:rPr>
              <w:t>评价机构：武汉宏信会计师事务有限公司</w:t>
            </w:r>
          </w:p>
          <w:p>
            <w:pPr>
              <w:ind w:firstLine="1400" w:firstLineChars="500"/>
              <w:rPr>
                <w:rFonts w:ascii="仿宋_GB2312" w:hAnsi="仿宋" w:eastAsia="仿宋_GB2312"/>
                <w:sz w:val="28"/>
                <w:szCs w:val="28"/>
              </w:rPr>
            </w:pPr>
            <w:r>
              <w:rPr>
                <w:rFonts w:hint="eastAsia" w:ascii="仿宋_GB2312" w:hAnsi="仿宋" w:eastAsia="仿宋_GB2312"/>
                <w:sz w:val="28"/>
                <w:szCs w:val="28"/>
              </w:rPr>
              <w:t xml:space="preserve">          武汉宏信资产评估有限公司</w:t>
            </w:r>
          </w:p>
          <w:p>
            <w:pPr>
              <w:ind w:firstLine="1405" w:firstLineChars="500"/>
              <w:rPr>
                <w:rFonts w:ascii="仿宋_GB2312" w:hAnsi="仿宋" w:eastAsia="仿宋_GB2312"/>
                <w:b/>
                <w:sz w:val="28"/>
                <w:szCs w:val="28"/>
              </w:rPr>
            </w:pPr>
          </w:p>
          <w:p>
            <w:pPr>
              <w:rPr>
                <w:rFonts w:ascii="仿宋_GB2312" w:hAnsi="仿宋" w:eastAsia="仿宋_GB2312"/>
                <w:b/>
                <w:sz w:val="28"/>
                <w:szCs w:val="28"/>
              </w:rPr>
            </w:pPr>
          </w:p>
          <w:p>
            <w:pPr>
              <w:jc w:val="center"/>
              <w:rPr>
                <w:rFonts w:ascii="仿宋_GB2312" w:hAnsi="仿宋" w:eastAsia="仿宋_GB2312"/>
                <w:sz w:val="28"/>
                <w:szCs w:val="28"/>
              </w:rPr>
            </w:pPr>
            <w:r>
              <w:rPr>
                <w:rFonts w:hint="eastAsia" w:ascii="仿宋_GB2312" w:hAnsi="仿宋" w:eastAsia="仿宋_GB2312"/>
                <w:sz w:val="28"/>
                <w:szCs w:val="28"/>
              </w:rPr>
              <w:t>2017年05月25日</w:t>
            </w:r>
          </w:p>
        </w:tc>
      </w:tr>
    </w:tbl>
    <w:p>
      <w:pPr>
        <w:widowControl/>
        <w:jc w:val="left"/>
        <w:rPr>
          <w:rFonts w:ascii="仿宋_GB2312" w:hAnsi="仿宋" w:eastAsia="仿宋_GB2312"/>
          <w:b/>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p>
    <w:bookmarkEnd w:id="0"/>
    <w:p>
      <w:pPr>
        <w:spacing w:line="360" w:lineRule="auto"/>
        <w:ind w:firstLine="602" w:firstLineChars="200"/>
        <w:outlineLvl w:val="1"/>
        <w:rPr>
          <w:rFonts w:ascii="黑体" w:hAnsi="黑体" w:eastAsia="黑体"/>
          <w:b/>
          <w:sz w:val="30"/>
          <w:szCs w:val="30"/>
        </w:rPr>
      </w:pPr>
      <w:r>
        <w:rPr>
          <w:rFonts w:hint="eastAsia" w:ascii="黑体" w:hAnsi="黑体" w:eastAsia="黑体"/>
          <w:b/>
          <w:sz w:val="30"/>
          <w:szCs w:val="30"/>
        </w:rPr>
        <w:t>一、基本情况</w:t>
      </w:r>
    </w:p>
    <w:p>
      <w:pPr>
        <w:spacing w:line="360" w:lineRule="auto"/>
        <w:ind w:firstLine="602" w:firstLineChars="200"/>
        <w:outlineLvl w:val="1"/>
        <w:rPr>
          <w:rFonts w:ascii="楷体" w:hAnsi="楷体" w:eastAsia="楷体"/>
          <w:b/>
          <w:sz w:val="30"/>
          <w:szCs w:val="30"/>
        </w:rPr>
      </w:pPr>
      <w:r>
        <w:rPr>
          <w:rFonts w:hint="eastAsia" w:ascii="楷体" w:hAnsi="楷体" w:eastAsia="楷体"/>
          <w:b/>
          <w:sz w:val="30"/>
          <w:szCs w:val="30"/>
        </w:rPr>
        <w:t>（一）部门职能与职责</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湖北省科协学会（科技）服务中心系省科协直属公益一类事业单位，主要职责是联系省科技社团和科技工作者，为学会发展服务、为加强学会党建工作服务、为省科协信息化建设服务。具体为：</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1、开展学会服务。密切保持同省科协所属学会沟通交流，积极配合开展各类学会服务工作；</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2、推进学会党建工作。承担所属学会党建工作，推动所属学会实现党的组织全覆盖和工作全覆盖，做好党员教育管理；</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3、承担省科协信息化建设工作。做好省科协办公大楼计算机硬件设备、内外网网络维护工作，做好省科协各类网络信息系统、应用系统的建设与维护工作，做好湖北科协网、湖北科普网、湖北学会服务网三大网站的建设、管理与维护工作，做好年度科协系统计算机统计汇总工作。</w:t>
      </w:r>
    </w:p>
    <w:p>
      <w:pPr>
        <w:spacing w:line="360" w:lineRule="auto"/>
        <w:ind w:firstLine="602" w:firstLineChars="200"/>
        <w:outlineLvl w:val="1"/>
        <w:rPr>
          <w:rFonts w:ascii="楷体" w:hAnsi="楷体" w:eastAsia="楷体"/>
          <w:b/>
          <w:sz w:val="30"/>
          <w:szCs w:val="30"/>
        </w:rPr>
      </w:pPr>
      <w:r>
        <w:rPr>
          <w:rFonts w:hint="eastAsia" w:ascii="楷体" w:hAnsi="楷体" w:eastAsia="楷体"/>
          <w:b/>
          <w:sz w:val="30"/>
          <w:szCs w:val="30"/>
        </w:rPr>
        <w:t>（二）部门支出情况</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 xml:space="preserve"> 2016年湖北省科协学会（科技）服务中心全年总支出560.75万元，按照资金来源分类，财政拨款为504.35万元，占总支出的89.95%，其他支出占总支出的10.05%。全年财政拨款支出560.75万元，其中：（1）基本支出301.95万元，分别是人员经费289.87万元，日常公用经费12.08万元。（2）项目支出258.79万元。按照支出经济分类，商品和服务支出251.26万元，其他资本性支出7.53万元。按照项目名称分类，其中信息化建设项目支出258.79万元。</w:t>
      </w:r>
    </w:p>
    <w:p>
      <w:pPr>
        <w:tabs>
          <w:tab w:val="right" w:pos="8459"/>
        </w:tabs>
        <w:spacing w:line="360" w:lineRule="auto"/>
        <w:ind w:firstLine="602" w:firstLineChars="200"/>
        <w:outlineLvl w:val="1"/>
        <w:rPr>
          <w:rFonts w:ascii="楷体_GB2312" w:hAnsi="仿宋" w:eastAsia="楷体_GB2312"/>
          <w:b/>
          <w:sz w:val="30"/>
          <w:szCs w:val="30"/>
        </w:rPr>
      </w:pPr>
      <w:r>
        <w:rPr>
          <w:rFonts w:hint="eastAsia" w:ascii="楷体_GB2312" w:hAnsi="仿宋" w:eastAsia="楷体_GB2312"/>
          <w:b/>
          <w:sz w:val="30"/>
          <w:szCs w:val="30"/>
        </w:rPr>
        <w:t>（三）2016年省委省政府下达的重点工作</w:t>
      </w:r>
      <w:r>
        <w:rPr>
          <w:rFonts w:hint="eastAsia" w:ascii="楷体_GB2312" w:hAnsi="仿宋" w:eastAsia="楷体_GB2312"/>
          <w:b/>
          <w:sz w:val="30"/>
          <w:szCs w:val="30"/>
        </w:rPr>
        <w:tab/>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1、积极贯彻落实党的十八大及十八届五中、六中全会精神，贯彻落实省委和省科协党组决策部署，紧紧围绕全国“科技三会”和科协系统深化改革方案的总体布局，立足工作职能全面转型发展。</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2、从严落实支部党建工作，推进单位党风廉政建设，认真履行“一岗双责”，推进单位事业转型发展。</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3、积极参与“创新驱动助力工程”评审和“第16届湖北省自然科学优秀学术论文评选”。</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4、做好省科协办公大楼计算机局域网络的管理与维护，启动机房改造工程，做好“湖北科协网”、“湖北科普网”日常信息更新与网站技术维护。</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5、开展省科协内网OA办公系统及电子档案系统建设工作。</w:t>
      </w:r>
    </w:p>
    <w:p>
      <w:pPr>
        <w:tabs>
          <w:tab w:val="right" w:pos="8459"/>
        </w:tabs>
        <w:spacing w:line="360" w:lineRule="auto"/>
        <w:ind w:firstLine="602" w:firstLineChars="200"/>
        <w:outlineLvl w:val="1"/>
        <w:rPr>
          <w:rFonts w:ascii="楷体_GB2312" w:hAnsi="仿宋" w:eastAsia="楷体_GB2312"/>
          <w:b/>
          <w:sz w:val="30"/>
          <w:szCs w:val="30"/>
        </w:rPr>
      </w:pPr>
      <w:r>
        <w:rPr>
          <w:rFonts w:hint="eastAsia" w:ascii="楷体_GB2312" w:hAnsi="仿宋" w:eastAsia="楷体_GB2312"/>
          <w:b/>
          <w:sz w:val="30"/>
          <w:szCs w:val="30"/>
        </w:rPr>
        <w:t>（四）绩效评价工作情况</w:t>
      </w:r>
    </w:p>
    <w:p>
      <w:pPr>
        <w:spacing w:line="360" w:lineRule="auto"/>
        <w:ind w:firstLine="600" w:firstLineChars="200"/>
        <w:outlineLvl w:val="1"/>
        <w:rPr>
          <w:rFonts w:hint="eastAsia" w:ascii="仿宋" w:hAnsi="仿宋" w:eastAsia="仿宋"/>
          <w:sz w:val="30"/>
          <w:szCs w:val="30"/>
        </w:rPr>
      </w:pPr>
      <w:bookmarkStart w:id="1" w:name="_Hlk482459443"/>
      <w:r>
        <w:rPr>
          <w:rFonts w:hint="eastAsia" w:ascii="仿宋" w:hAnsi="仿宋" w:eastAsia="仿宋"/>
          <w:sz w:val="30"/>
          <w:szCs w:val="30"/>
        </w:rPr>
        <w:t>绩效评价小组对湖北省科协学会（科技）服务中心部门整体支出的财务资料和各部门资料进行了抽</w:t>
      </w:r>
      <w:r>
        <w:rPr>
          <w:rFonts w:hint="eastAsia" w:ascii="仿宋" w:hAnsi="仿宋" w:eastAsia="仿宋"/>
          <w:sz w:val="30"/>
          <w:szCs w:val="30"/>
        </w:rPr>
        <w:t>样审核。抽样过程中，</w:t>
      </w:r>
      <w:r>
        <w:rPr>
          <w:rFonts w:hint="eastAsia" w:ascii="仿宋" w:hAnsi="仿宋" w:eastAsia="仿宋"/>
          <w:sz w:val="30"/>
          <w:szCs w:val="30"/>
        </w:rPr>
        <w:t>我们遵循了</w:t>
      </w:r>
      <w:r>
        <w:rPr>
          <w:rFonts w:hint="eastAsia" w:ascii="仿宋" w:hAnsi="仿宋" w:eastAsia="仿宋"/>
          <w:sz w:val="30"/>
          <w:szCs w:val="30"/>
        </w:rPr>
        <w:t>相关性、</w:t>
      </w:r>
      <w:r>
        <w:rPr>
          <w:rFonts w:hint="eastAsia" w:ascii="仿宋" w:hAnsi="仿宋" w:eastAsia="仿宋"/>
          <w:sz w:val="30"/>
          <w:szCs w:val="30"/>
        </w:rPr>
        <w:t>完整性、经济性原则，</w:t>
      </w:r>
      <w:r>
        <w:rPr>
          <w:rFonts w:hint="eastAsia" w:ascii="仿宋" w:hAnsi="仿宋" w:eastAsia="仿宋"/>
          <w:sz w:val="30"/>
          <w:szCs w:val="30"/>
        </w:rPr>
        <w:t>采用统计抽样和非统计抽样</w:t>
      </w:r>
      <w:r>
        <w:rPr>
          <w:rFonts w:hint="eastAsia" w:ascii="仿宋" w:hAnsi="仿宋" w:eastAsia="仿宋"/>
          <w:sz w:val="30"/>
          <w:szCs w:val="30"/>
        </w:rPr>
        <w:t>相结合的方法，提高推断总体的精确度和可靠程度。</w:t>
      </w:r>
      <w:r>
        <w:rPr>
          <w:rFonts w:hint="eastAsia" w:ascii="仿宋" w:hAnsi="仿宋" w:eastAsia="仿宋"/>
          <w:sz w:val="30"/>
          <w:szCs w:val="30"/>
        </w:rPr>
        <w:t>财务资料方面</w:t>
      </w:r>
      <w:r>
        <w:rPr>
          <w:rFonts w:hint="eastAsia" w:ascii="仿宋" w:hAnsi="仿宋" w:eastAsia="仿宋"/>
          <w:sz w:val="30"/>
          <w:szCs w:val="30"/>
        </w:rPr>
        <w:t>，通过</w:t>
      </w:r>
      <w:r>
        <w:rPr>
          <w:rFonts w:hint="eastAsia" w:ascii="仿宋" w:hAnsi="仿宋" w:eastAsia="仿宋"/>
          <w:sz w:val="30"/>
          <w:szCs w:val="30"/>
        </w:rPr>
        <w:t>查看报表</w:t>
      </w:r>
      <w:r>
        <w:rPr>
          <w:rFonts w:hint="eastAsia" w:ascii="仿宋" w:hAnsi="仿宋" w:eastAsia="仿宋"/>
          <w:sz w:val="30"/>
          <w:szCs w:val="30"/>
        </w:rPr>
        <w:t>、明细账</w:t>
      </w:r>
      <w:r>
        <w:rPr>
          <w:rFonts w:hint="eastAsia" w:ascii="仿宋" w:hAnsi="仿宋" w:eastAsia="仿宋"/>
          <w:sz w:val="30"/>
          <w:szCs w:val="30"/>
        </w:rPr>
        <w:t>，查看</w:t>
      </w:r>
      <w:r>
        <w:rPr>
          <w:rFonts w:hint="eastAsia" w:ascii="仿宋" w:hAnsi="仿宋" w:eastAsia="仿宋"/>
          <w:sz w:val="30"/>
          <w:szCs w:val="30"/>
        </w:rPr>
        <w:t>记账凭证</w:t>
      </w:r>
      <w:r>
        <w:rPr>
          <w:rFonts w:hint="eastAsia" w:ascii="仿宋" w:hAnsi="仿宋" w:eastAsia="仿宋"/>
          <w:sz w:val="30"/>
          <w:szCs w:val="30"/>
        </w:rPr>
        <w:t>、原</w:t>
      </w:r>
      <w:r>
        <w:rPr>
          <w:rFonts w:hint="eastAsia" w:ascii="仿宋" w:hAnsi="仿宋" w:eastAsia="仿宋"/>
          <w:sz w:val="30"/>
          <w:szCs w:val="30"/>
        </w:rPr>
        <w:t>始凭证</w:t>
      </w:r>
      <w:r>
        <w:rPr>
          <w:rFonts w:hint="eastAsia" w:ascii="仿宋" w:hAnsi="仿宋" w:eastAsia="仿宋"/>
          <w:sz w:val="30"/>
          <w:szCs w:val="30"/>
        </w:rPr>
        <w:t>，对部门整体支出</w:t>
      </w:r>
      <w:r>
        <w:rPr>
          <w:rFonts w:hint="eastAsia" w:ascii="仿宋" w:hAnsi="仿宋" w:eastAsia="仿宋"/>
          <w:sz w:val="30"/>
          <w:szCs w:val="30"/>
        </w:rPr>
        <w:t>的合</w:t>
      </w:r>
      <w:r>
        <w:rPr>
          <w:rFonts w:hint="eastAsia" w:ascii="仿宋" w:hAnsi="仿宋" w:eastAsia="仿宋"/>
          <w:sz w:val="30"/>
          <w:szCs w:val="30"/>
        </w:rPr>
        <w:t>规性、</w:t>
      </w:r>
      <w:r>
        <w:rPr>
          <w:rFonts w:hint="eastAsia" w:ascii="仿宋" w:hAnsi="仿宋" w:eastAsia="仿宋"/>
          <w:sz w:val="30"/>
          <w:szCs w:val="30"/>
        </w:rPr>
        <w:t>真实性</w:t>
      </w:r>
      <w:r>
        <w:rPr>
          <w:rFonts w:hint="eastAsia" w:ascii="仿宋" w:hAnsi="仿宋" w:eastAsia="仿宋"/>
          <w:sz w:val="30"/>
          <w:szCs w:val="30"/>
        </w:rPr>
        <w:t>等予以审核</w:t>
      </w:r>
      <w:r>
        <w:rPr>
          <w:rFonts w:hint="eastAsia" w:ascii="仿宋" w:hAnsi="仿宋" w:eastAsia="仿宋"/>
          <w:sz w:val="30"/>
          <w:szCs w:val="30"/>
        </w:rPr>
        <w:t>；各部门资料</w:t>
      </w:r>
      <w:r>
        <w:rPr>
          <w:rFonts w:hint="eastAsia" w:ascii="仿宋" w:hAnsi="仿宋" w:eastAsia="仿宋"/>
          <w:sz w:val="30"/>
          <w:szCs w:val="30"/>
        </w:rPr>
        <w:t>方面，选取</w:t>
      </w:r>
      <w:r>
        <w:rPr>
          <w:rFonts w:hint="eastAsia" w:ascii="仿宋" w:hAnsi="仿宋" w:eastAsia="仿宋"/>
          <w:sz w:val="30"/>
          <w:szCs w:val="30"/>
        </w:rPr>
        <w:t>2016年度重点工作内容相关资</w:t>
      </w:r>
      <w:r>
        <w:rPr>
          <w:rFonts w:hint="eastAsia" w:ascii="仿宋" w:hAnsi="仿宋" w:eastAsia="仿宋"/>
          <w:sz w:val="30"/>
          <w:szCs w:val="30"/>
        </w:rPr>
        <w:t>料予以查看</w:t>
      </w:r>
      <w:r>
        <w:rPr>
          <w:rFonts w:hint="eastAsia" w:ascii="仿宋" w:hAnsi="仿宋" w:eastAsia="仿宋"/>
          <w:sz w:val="30"/>
          <w:szCs w:val="30"/>
        </w:rPr>
        <w:t>，对业务管理的</w:t>
      </w:r>
      <w:r>
        <w:rPr>
          <w:rFonts w:hint="eastAsia" w:ascii="仿宋" w:hAnsi="仿宋" w:eastAsia="仿宋"/>
          <w:sz w:val="30"/>
          <w:szCs w:val="30"/>
        </w:rPr>
        <w:t>有效性、质量可控</w:t>
      </w:r>
      <w:r>
        <w:rPr>
          <w:rFonts w:hint="eastAsia" w:ascii="仿宋" w:hAnsi="仿宋" w:eastAsia="仿宋"/>
          <w:sz w:val="30"/>
          <w:szCs w:val="30"/>
        </w:rPr>
        <w:t>性等进行审核</w:t>
      </w:r>
      <w:r>
        <w:rPr>
          <w:rFonts w:hint="eastAsia" w:ascii="仿宋" w:hAnsi="仿宋" w:eastAsia="仿宋"/>
          <w:sz w:val="30"/>
          <w:szCs w:val="30"/>
        </w:rPr>
        <w:t>。2016</w:t>
      </w:r>
      <w:r>
        <w:rPr>
          <w:rFonts w:hint="eastAsia" w:ascii="仿宋" w:hAnsi="仿宋" w:eastAsia="仿宋"/>
          <w:sz w:val="30"/>
          <w:szCs w:val="30"/>
        </w:rPr>
        <w:t>年度，</w:t>
      </w:r>
      <w:r>
        <w:rPr>
          <w:rFonts w:hint="eastAsia" w:ascii="仿宋" w:hAnsi="仿宋" w:eastAsia="仿宋"/>
          <w:sz w:val="30"/>
          <w:szCs w:val="30"/>
        </w:rPr>
        <w:t>湖北省科协学会（科技）服务中心部门整体支出总额</w:t>
      </w:r>
      <w:r>
        <w:rPr>
          <w:rFonts w:hint="eastAsia" w:ascii="仿宋" w:hAnsi="仿宋" w:eastAsia="仿宋"/>
          <w:sz w:val="30"/>
          <w:szCs w:val="30"/>
        </w:rPr>
        <w:t>560.75万元</w:t>
      </w:r>
      <w:r>
        <w:rPr>
          <w:rFonts w:hint="eastAsia" w:ascii="仿宋" w:hAnsi="仿宋" w:eastAsia="仿宋"/>
          <w:sz w:val="30"/>
          <w:szCs w:val="30"/>
        </w:rPr>
        <w:t>，省委省政府下达的重点工作，以上抽取样本数均达到</w:t>
      </w:r>
      <w:r>
        <w:rPr>
          <w:rFonts w:hint="eastAsia" w:ascii="仿宋" w:hAnsi="仿宋" w:eastAsia="仿宋"/>
          <w:sz w:val="30"/>
          <w:szCs w:val="30"/>
        </w:rPr>
        <w:t>样本量的</w:t>
      </w:r>
      <w:r>
        <w:rPr>
          <w:rFonts w:hint="eastAsia" w:ascii="仿宋" w:hAnsi="仿宋" w:eastAsia="仿宋"/>
          <w:sz w:val="30"/>
          <w:szCs w:val="30"/>
        </w:rPr>
        <w:t>60%以上。</w:t>
      </w:r>
    </w:p>
    <w:bookmarkEnd w:id="1"/>
    <w:p>
      <w:pPr>
        <w:spacing w:line="360" w:lineRule="auto"/>
        <w:ind w:firstLine="602" w:firstLineChars="200"/>
        <w:outlineLvl w:val="1"/>
        <w:rPr>
          <w:rFonts w:ascii="黑体" w:hAnsi="黑体" w:eastAsia="黑体"/>
          <w:b/>
          <w:sz w:val="30"/>
          <w:szCs w:val="30"/>
        </w:rPr>
      </w:pPr>
      <w:r>
        <w:rPr>
          <w:rFonts w:hint="eastAsia" w:ascii="黑体" w:hAnsi="黑体" w:eastAsia="黑体"/>
          <w:b/>
          <w:sz w:val="30"/>
          <w:szCs w:val="30"/>
        </w:rPr>
        <w:t>二、绩效评价结论</w:t>
      </w:r>
    </w:p>
    <w:p>
      <w:pPr>
        <w:spacing w:line="360" w:lineRule="auto"/>
        <w:ind w:firstLine="602" w:firstLineChars="200"/>
        <w:rPr>
          <w:rFonts w:ascii="仿宋_GB2312" w:eastAsia="仿宋_GB2312"/>
          <w:b/>
          <w:sz w:val="28"/>
          <w:szCs w:val="28"/>
        </w:rPr>
      </w:pPr>
      <w:r>
        <w:rPr>
          <w:rFonts w:hint="eastAsia" w:ascii="楷体" w:hAnsi="楷体" w:eastAsia="楷体"/>
          <w:b/>
          <w:sz w:val="30"/>
          <w:szCs w:val="30"/>
        </w:rPr>
        <w:t>（一）评分结果</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2"/>
        <w:gridCol w:w="1384"/>
        <w:gridCol w:w="138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82" w:type="dxa"/>
            <w:vAlign w:val="center"/>
          </w:tcPr>
          <w:p>
            <w:pPr>
              <w:widowControl/>
              <w:spacing w:line="360" w:lineRule="auto"/>
              <w:jc w:val="center"/>
              <w:rPr>
                <w:rFonts w:ascii="仿宋" w:hAnsi="仿宋" w:eastAsia="仿宋" w:cs="宋体"/>
                <w:b/>
                <w:kern w:val="0"/>
                <w:sz w:val="24"/>
              </w:rPr>
            </w:pPr>
            <w:r>
              <w:rPr>
                <w:rFonts w:hint="eastAsia" w:ascii="仿宋" w:hAnsi="仿宋" w:eastAsia="仿宋" w:cs="宋体"/>
                <w:b/>
                <w:kern w:val="0"/>
                <w:sz w:val="24"/>
              </w:rPr>
              <w:t>评价指标</w:t>
            </w:r>
          </w:p>
        </w:tc>
        <w:tc>
          <w:tcPr>
            <w:tcW w:w="1382" w:type="dxa"/>
            <w:vAlign w:val="center"/>
          </w:tcPr>
          <w:p>
            <w:pPr>
              <w:widowControl/>
              <w:spacing w:line="360" w:lineRule="auto"/>
              <w:jc w:val="center"/>
              <w:rPr>
                <w:rFonts w:ascii="仿宋" w:hAnsi="仿宋" w:eastAsia="仿宋" w:cs="宋体"/>
                <w:b/>
                <w:kern w:val="0"/>
                <w:sz w:val="24"/>
              </w:rPr>
            </w:pPr>
            <w:r>
              <w:rPr>
                <w:rFonts w:hint="eastAsia" w:ascii="仿宋" w:hAnsi="仿宋" w:eastAsia="仿宋" w:cs="宋体"/>
                <w:b/>
                <w:kern w:val="0"/>
                <w:sz w:val="24"/>
              </w:rPr>
              <w:t>权重</w:t>
            </w:r>
          </w:p>
        </w:tc>
        <w:tc>
          <w:tcPr>
            <w:tcW w:w="1382" w:type="dxa"/>
            <w:vAlign w:val="center"/>
          </w:tcPr>
          <w:p>
            <w:pPr>
              <w:widowControl/>
              <w:spacing w:line="360" w:lineRule="auto"/>
              <w:jc w:val="center"/>
              <w:rPr>
                <w:rFonts w:ascii="仿宋" w:hAnsi="仿宋" w:eastAsia="仿宋" w:cs="宋体"/>
                <w:b/>
                <w:kern w:val="0"/>
                <w:sz w:val="24"/>
              </w:rPr>
            </w:pPr>
            <w:r>
              <w:rPr>
                <w:rFonts w:hint="eastAsia" w:ascii="仿宋" w:hAnsi="仿宋" w:eastAsia="仿宋" w:cs="宋体"/>
                <w:b/>
                <w:kern w:val="0"/>
                <w:sz w:val="24"/>
              </w:rPr>
              <w:t>评级分值</w:t>
            </w:r>
          </w:p>
        </w:tc>
        <w:tc>
          <w:tcPr>
            <w:tcW w:w="1384" w:type="dxa"/>
            <w:vAlign w:val="center"/>
          </w:tcPr>
          <w:p>
            <w:pPr>
              <w:widowControl/>
              <w:spacing w:line="360" w:lineRule="auto"/>
              <w:jc w:val="center"/>
              <w:rPr>
                <w:rFonts w:ascii="仿宋" w:hAnsi="仿宋" w:eastAsia="仿宋" w:cs="宋体"/>
                <w:b/>
                <w:kern w:val="0"/>
                <w:sz w:val="24"/>
              </w:rPr>
            </w:pPr>
            <w:r>
              <w:rPr>
                <w:rFonts w:hint="eastAsia" w:ascii="仿宋" w:hAnsi="仿宋" w:eastAsia="仿宋" w:cs="宋体"/>
                <w:b/>
                <w:kern w:val="0"/>
                <w:sz w:val="24"/>
              </w:rPr>
              <w:t>项目得分</w:t>
            </w:r>
          </w:p>
        </w:tc>
        <w:tc>
          <w:tcPr>
            <w:tcW w:w="1384" w:type="dxa"/>
            <w:vAlign w:val="center"/>
          </w:tcPr>
          <w:p>
            <w:pPr>
              <w:widowControl/>
              <w:spacing w:line="360" w:lineRule="auto"/>
              <w:jc w:val="center"/>
              <w:rPr>
                <w:rFonts w:ascii="仿宋" w:hAnsi="仿宋" w:eastAsia="仿宋" w:cs="宋体"/>
                <w:b/>
                <w:kern w:val="0"/>
                <w:sz w:val="24"/>
              </w:rPr>
            </w:pPr>
            <w:r>
              <w:rPr>
                <w:rFonts w:hint="eastAsia" w:ascii="仿宋" w:hAnsi="仿宋" w:eastAsia="仿宋" w:cs="宋体"/>
                <w:b/>
                <w:kern w:val="0"/>
                <w:sz w:val="24"/>
              </w:rPr>
              <w:t>得分率</w:t>
            </w:r>
          </w:p>
        </w:tc>
        <w:tc>
          <w:tcPr>
            <w:tcW w:w="1382" w:type="dxa"/>
            <w:vAlign w:val="center"/>
          </w:tcPr>
          <w:p>
            <w:pPr>
              <w:widowControl/>
              <w:spacing w:line="360" w:lineRule="auto"/>
              <w:jc w:val="center"/>
              <w:rPr>
                <w:rFonts w:ascii="仿宋" w:hAnsi="仿宋" w:eastAsia="仿宋" w:cs="宋体"/>
                <w:b/>
                <w:kern w:val="0"/>
                <w:sz w:val="24"/>
              </w:rPr>
            </w:pPr>
            <w:r>
              <w:rPr>
                <w:rFonts w:hint="eastAsia" w:ascii="仿宋" w:hAnsi="仿宋" w:eastAsia="仿宋" w:cs="宋体"/>
                <w:b/>
                <w:kern w:val="0"/>
                <w:sz w:val="24"/>
              </w:rPr>
              <w:t>得分等级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投入</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25%</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25</w:t>
            </w:r>
          </w:p>
        </w:tc>
        <w:tc>
          <w:tcPr>
            <w:tcW w:w="1384" w:type="dxa"/>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10</w:t>
            </w:r>
          </w:p>
        </w:tc>
        <w:tc>
          <w:tcPr>
            <w:tcW w:w="138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40%</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82" w:type="dxa"/>
            <w:vAlign w:val="center"/>
          </w:tcPr>
          <w:p>
            <w:pPr>
              <w:widowControl/>
              <w:spacing w:line="360" w:lineRule="auto"/>
              <w:rPr>
                <w:rFonts w:ascii="仿宋" w:hAnsi="仿宋" w:eastAsia="仿宋" w:cs="宋体"/>
                <w:kern w:val="0"/>
                <w:sz w:val="24"/>
              </w:rPr>
            </w:pPr>
            <w:r>
              <w:rPr>
                <w:rFonts w:hint="eastAsia" w:ascii="仿宋" w:hAnsi="仿宋" w:eastAsia="仿宋" w:cs="宋体"/>
                <w:kern w:val="0"/>
                <w:sz w:val="24"/>
              </w:rPr>
              <w:t xml:space="preserve">   过程</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15%</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15</w:t>
            </w:r>
          </w:p>
        </w:tc>
        <w:tc>
          <w:tcPr>
            <w:tcW w:w="1384" w:type="dxa"/>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15</w:t>
            </w:r>
          </w:p>
        </w:tc>
        <w:tc>
          <w:tcPr>
            <w:tcW w:w="138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100%</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效果</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0</w:t>
            </w:r>
            <w:r>
              <w:rPr>
                <w:rFonts w:hint="eastAsia" w:ascii="仿宋" w:hAnsi="仿宋" w:eastAsia="仿宋" w:cs="宋体"/>
                <w:kern w:val="0"/>
                <w:sz w:val="24"/>
              </w:rPr>
              <w:t>%</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60</w:t>
            </w:r>
          </w:p>
        </w:tc>
        <w:tc>
          <w:tcPr>
            <w:tcW w:w="1384" w:type="dxa"/>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56.91</w:t>
            </w:r>
          </w:p>
        </w:tc>
        <w:tc>
          <w:tcPr>
            <w:tcW w:w="138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94.85%</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综合绩效</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100%</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100</w:t>
            </w:r>
          </w:p>
        </w:tc>
        <w:tc>
          <w:tcPr>
            <w:tcW w:w="1384" w:type="dxa"/>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81.91</w:t>
            </w:r>
          </w:p>
        </w:tc>
        <w:tc>
          <w:tcPr>
            <w:tcW w:w="138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81.91</w:t>
            </w:r>
          </w:p>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1382"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良</w:t>
            </w:r>
          </w:p>
        </w:tc>
      </w:tr>
    </w:tbl>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从投入来看，湖北省科协学会（科技）服务中心2016年年初预算支出1579.5万元，预算执行560.75万元，差异原因主要是预算产权参股项目1000万元支出用途有变，无法支付，项目资金1000万元划转到实拨资金账户，还有32.45万元机房改造项目质保金尚未验收，2016年预算完成率35.14%；预算执行过程中预算调整幅度低，控制得当，除了对其他收入（银行利息）预算估算进行了调整，其他基本没有变化，预算调整率为1.04%；其他收入-利息收入年初预算数10万元，预算调整后19.02万元，决算数19.02万元，主要原因是对于利息收入这类不固定的收益预测较为困难。</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从过程来看，湖北省科协学会（科技）服务中心部门整体支出的资金使用按照预算执行，符合国家财经法规和财务管理制度规定以及有关专项资金管理办法的规定，资金的拨付有完整的审批程序和手续，重大项目开支经过评估论证，符合部门预算批复的用途，不存在截留、挤占、挪用、虚列支出等情况；资产管理较规范，资产有偿使用、处置按规定程序审批；“三公经费”控制得当，实际执行较预算降低23.38%，特别是公务接待费下降比例巨大，严控公务接待费支出卓有成效。</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从效果来看，湖北省科协学会（科技）服务中心部门整体支出效果满意，2016年学会服务工作成效显著、成绩斐然：2016年省科协学会（科技）服务中心积极贯彻省科协党组决策部署，全面转型发展，以服务全省科技社团和科技工作者，服务科协信息化为主要内容，创造性的开展了系列工作，取得了阶段性成效。</w:t>
      </w:r>
    </w:p>
    <w:p>
      <w:pPr>
        <w:spacing w:line="360" w:lineRule="auto"/>
        <w:outlineLvl w:val="1"/>
        <w:rPr>
          <w:rFonts w:hint="eastAsia" w:ascii="仿宋" w:hAnsi="仿宋" w:eastAsia="仿宋"/>
          <w:sz w:val="30"/>
          <w:szCs w:val="30"/>
        </w:rPr>
      </w:pPr>
      <w:r>
        <w:rPr>
          <w:rFonts w:hint="eastAsia" w:ascii="仿宋" w:hAnsi="仿宋" w:eastAsia="仿宋"/>
          <w:sz w:val="30"/>
          <w:szCs w:val="30"/>
        </w:rPr>
        <w:t>一是认真履行学会服务职能，不断推进单位事业转型发展；二是积极抓好网络信息服务，不断推进科协信息化建设；三是从严落实支部党建工作，不断推进单位党风廉政建设；四是积极抓好自身建设，不断推进单位管理科学化水平。</w:t>
      </w:r>
    </w:p>
    <w:p>
      <w:pPr>
        <w:spacing w:line="360" w:lineRule="auto"/>
        <w:ind w:firstLine="602" w:firstLineChars="200"/>
        <w:rPr>
          <w:rFonts w:ascii="楷体" w:hAnsi="楷体" w:eastAsia="楷体"/>
          <w:b/>
          <w:sz w:val="30"/>
          <w:szCs w:val="30"/>
        </w:rPr>
      </w:pPr>
      <w:r>
        <w:rPr>
          <w:rFonts w:hint="eastAsia" w:ascii="楷体" w:hAnsi="楷体" w:eastAsia="楷体"/>
          <w:b/>
          <w:sz w:val="30"/>
          <w:szCs w:val="30"/>
        </w:rPr>
        <w:t>（二）主要结论</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本次部门整体支出绩效评价结果为“良”。湖北省科协学会（科技）服务中心部门整体支出符合国家相关政策，产出高效，社会效益显著。湖北省科协学会（科技）服务中心积极贯彻落实党的十八大及十八届五中、六中全会精神，贯彻落实省委和省科协党组决策部署，紧紧围绕全国“科技三会”和科协系统深化改革方案的总体布局，立足工作职能全面转型发展。一方面从严落实支部党建工作，推进单位党风廉政建设，认真履行“一岗双责”，推进单位事业转型发展，另一方面，积极参与“创新驱动助力工程”评审和“第16届湖北省自然科学优秀学术论文评选”，做好省科协办公大楼计算机局域网络的管理与维护，启动机房改造工程，做好“湖北科协网”、“湖北科普网”日常信息更新与网站技术维护，开展省科协内网OA办公系统及电子档案系统建设工作。</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在看到成绩的同时我们也发现湖北省科协学会（科技）服务中心部门整体支出中还存一些问题有待进一步完善。</w:t>
      </w:r>
    </w:p>
    <w:p>
      <w:pPr>
        <w:spacing w:line="360" w:lineRule="auto"/>
        <w:ind w:firstLine="602" w:firstLineChars="200"/>
        <w:outlineLvl w:val="1"/>
        <w:rPr>
          <w:rFonts w:ascii="黑体" w:hAnsi="黑体" w:eastAsia="黑体"/>
          <w:b/>
          <w:sz w:val="30"/>
          <w:szCs w:val="30"/>
        </w:rPr>
      </w:pPr>
      <w:bookmarkStart w:id="2" w:name="_Toc421651181"/>
      <w:r>
        <w:rPr>
          <w:rFonts w:hint="eastAsia" w:ascii="黑体" w:hAnsi="黑体" w:eastAsia="黑体"/>
          <w:b/>
          <w:sz w:val="30"/>
          <w:szCs w:val="30"/>
        </w:rPr>
        <w:t>三、问题与建议</w:t>
      </w:r>
      <w:bookmarkEnd w:id="2"/>
      <w:bookmarkStart w:id="3" w:name="_Toc421651182"/>
    </w:p>
    <w:p>
      <w:pPr>
        <w:spacing w:line="360" w:lineRule="auto"/>
        <w:ind w:firstLine="602" w:firstLineChars="200"/>
        <w:outlineLvl w:val="1"/>
        <w:rPr>
          <w:rFonts w:ascii="楷体" w:hAnsi="楷体" w:eastAsia="楷体"/>
          <w:b/>
          <w:sz w:val="30"/>
          <w:szCs w:val="30"/>
        </w:rPr>
      </w:pPr>
      <w:r>
        <w:rPr>
          <w:rFonts w:hint="eastAsia" w:ascii="楷体" w:hAnsi="楷体" w:eastAsia="楷体"/>
          <w:b/>
          <w:sz w:val="30"/>
          <w:szCs w:val="30"/>
        </w:rPr>
        <w:t>（一）问题</w:t>
      </w:r>
      <w:bookmarkEnd w:id="3"/>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1、预算完成情况不理想。2016年预算数1595.9万元，实际完成数560.75万元，占预算数35.14%。未完成原因分析：预算产权参股项目1000万元支出用途有变，无法支付，项目资金1000万元划转到实拨资金账户，还有32.45万元机房改造项目质保金尚未验收。</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2、预算执行方面，支出进度率完成不够理想。该绩效指标半年度执行情况和前三季度执行情况均未达标，支付进度率较缓，项目的执行还需加强。</w:t>
      </w:r>
    </w:p>
    <w:p>
      <w:pPr>
        <w:spacing w:line="360" w:lineRule="auto"/>
        <w:ind w:firstLine="602" w:firstLineChars="200"/>
        <w:rPr>
          <w:rFonts w:ascii="楷体" w:hAnsi="楷体" w:eastAsia="楷体"/>
          <w:b/>
          <w:sz w:val="30"/>
          <w:szCs w:val="30"/>
        </w:rPr>
      </w:pPr>
      <w:r>
        <w:rPr>
          <w:rFonts w:hint="eastAsia" w:ascii="楷体" w:hAnsi="楷体" w:eastAsia="楷体"/>
          <w:b/>
          <w:sz w:val="30"/>
          <w:szCs w:val="30"/>
        </w:rPr>
        <w:t>（二）建议</w:t>
      </w:r>
    </w:p>
    <w:p>
      <w:pPr>
        <w:spacing w:line="360" w:lineRule="auto"/>
        <w:ind w:firstLine="600" w:firstLineChars="200"/>
        <w:outlineLvl w:val="1"/>
        <w:rPr>
          <w:rFonts w:hint="eastAsia" w:ascii="仿宋" w:hAnsi="仿宋" w:eastAsia="仿宋"/>
          <w:sz w:val="30"/>
          <w:szCs w:val="30"/>
        </w:rPr>
      </w:pPr>
      <w:bookmarkStart w:id="4" w:name="_GoBack"/>
      <w:r>
        <w:rPr>
          <w:rFonts w:hint="eastAsia" w:ascii="仿宋" w:hAnsi="仿宋" w:eastAsia="仿宋"/>
          <w:sz w:val="30"/>
          <w:szCs w:val="30"/>
        </w:rPr>
        <w:t>1、加强预算执行分析，提高运行效率和使用效益。及时跟踪预算执行动态变化过程，合理准确编制年度预算，强化预算执行全过程的管理。</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2、编制预算时根据工作内容和计划，将支出进度进行调整说明。</w:t>
      </w:r>
    </w:p>
    <w:p>
      <w:pPr>
        <w:spacing w:line="360" w:lineRule="auto"/>
        <w:ind w:firstLine="600" w:firstLineChars="200"/>
        <w:outlineLvl w:val="1"/>
        <w:rPr>
          <w:rFonts w:hint="eastAsia" w:ascii="仿宋" w:hAnsi="仿宋" w:eastAsia="仿宋"/>
          <w:sz w:val="30"/>
          <w:szCs w:val="30"/>
        </w:rPr>
      </w:pP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附件  1、湖北省</w:t>
      </w:r>
      <w:r>
        <w:rPr>
          <w:rFonts w:hint="eastAsia" w:ascii="仿宋" w:hAnsi="仿宋" w:eastAsia="仿宋"/>
          <w:sz w:val="30"/>
          <w:szCs w:val="30"/>
          <w:lang w:eastAsia="zh-CN"/>
        </w:rPr>
        <w:t>科协学会服务中心</w:t>
      </w:r>
      <w:r>
        <w:rPr>
          <w:rFonts w:hint="eastAsia" w:ascii="仿宋" w:hAnsi="仿宋" w:eastAsia="仿宋"/>
          <w:sz w:val="30"/>
          <w:szCs w:val="30"/>
        </w:rPr>
        <w:t>部门整体支出绩效自评表</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 xml:space="preserve">  2、2016年收入支出决算总表、部门决算相关信息统计表</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 xml:space="preserve">  3、2016年度部门决算分析报告</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 xml:space="preserve">  4、2016年度省科协学会（科技）服务中心工作总结</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 xml:space="preserve">  5、</w:t>
      </w:r>
      <w:r>
        <w:rPr>
          <w:rFonts w:hint="eastAsia" w:ascii="仿宋" w:hAnsi="仿宋" w:eastAsia="仿宋"/>
          <w:sz w:val="30"/>
          <w:szCs w:val="30"/>
          <w:lang w:val="en-US" w:eastAsia="zh-CN"/>
        </w:rPr>
        <w:t>2016年度学会中心预算绩效评价工作总结</w:t>
      </w:r>
    </w:p>
    <w:p>
      <w:pPr>
        <w:spacing w:line="360" w:lineRule="auto"/>
        <w:ind w:firstLine="600" w:firstLineChars="200"/>
        <w:outlineLvl w:val="1"/>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6、座谈及面访会议记录</w:t>
      </w:r>
    </w:p>
    <w:p>
      <w:pPr>
        <w:spacing w:line="360" w:lineRule="auto"/>
        <w:ind w:firstLine="600" w:firstLineChars="200"/>
        <w:outlineLvl w:val="1"/>
        <w:rPr>
          <w:rFonts w:hint="eastAsia" w:ascii="仿宋" w:hAnsi="仿宋" w:eastAsia="仿宋"/>
          <w:sz w:val="30"/>
          <w:szCs w:val="30"/>
        </w:rPr>
      </w:pPr>
      <w:r>
        <w:rPr>
          <w:rFonts w:hint="eastAsia" w:ascii="仿宋" w:hAnsi="仿宋" w:eastAsia="仿宋"/>
          <w:sz w:val="30"/>
          <w:szCs w:val="30"/>
        </w:rPr>
        <w:t xml:space="preserve">  </w:t>
      </w:r>
    </w:p>
    <w:bookmarkEnd w:id="4"/>
    <w:p>
      <w:pPr>
        <w:widowControl/>
        <w:spacing w:after="225" w:line="360" w:lineRule="auto"/>
        <w:ind w:left="45" w:right="45" w:firstLine="450"/>
        <w:jc w:val="left"/>
        <w:rPr>
          <w:rFonts w:ascii="仿宋" w:hAnsi="仿宋" w:eastAsia="仿宋" w:cs="仿宋"/>
          <w:sz w:val="30"/>
          <w:szCs w:val="30"/>
        </w:rPr>
      </w:pPr>
    </w:p>
    <w:p>
      <w:pPr>
        <w:widowControl/>
        <w:spacing w:after="225" w:line="360" w:lineRule="auto"/>
        <w:ind w:left="45" w:right="45" w:firstLine="450"/>
        <w:jc w:val="right"/>
        <w:rPr>
          <w:rFonts w:ascii="仿宋" w:hAnsi="仿宋" w:eastAsia="仿宋" w:cs="仿宋"/>
          <w:sz w:val="30"/>
          <w:szCs w:val="30"/>
        </w:rPr>
      </w:pPr>
    </w:p>
    <w:p>
      <w:pPr>
        <w:widowControl/>
        <w:spacing w:after="225" w:line="360" w:lineRule="auto"/>
        <w:ind w:left="45" w:right="45" w:firstLine="450"/>
        <w:jc w:val="right"/>
        <w:rPr>
          <w:rFonts w:ascii="仿宋" w:hAnsi="仿宋" w:eastAsia="仿宋" w:cs="仿宋"/>
          <w:sz w:val="30"/>
          <w:szCs w:val="30"/>
        </w:rPr>
      </w:pPr>
      <w:r>
        <w:rPr>
          <w:rFonts w:hint="eastAsia" w:ascii="仿宋" w:hAnsi="仿宋" w:eastAsia="仿宋" w:cs="仿宋"/>
          <w:sz w:val="30"/>
          <w:szCs w:val="30"/>
        </w:rPr>
        <w:t xml:space="preserve">武汉宏信会计师事务有限公司   </w:t>
      </w:r>
    </w:p>
    <w:p>
      <w:pPr>
        <w:widowControl/>
        <w:spacing w:after="225" w:line="360" w:lineRule="auto"/>
        <w:ind w:left="45" w:right="45" w:firstLine="450"/>
        <w:jc w:val="right"/>
        <w:rPr>
          <w:rFonts w:ascii="仿宋" w:hAnsi="仿宋" w:eastAsia="仿宋" w:cs="仿宋"/>
          <w:sz w:val="30"/>
          <w:szCs w:val="30"/>
        </w:rPr>
      </w:pPr>
      <w:r>
        <w:rPr>
          <w:rFonts w:hint="eastAsia" w:ascii="仿宋" w:hAnsi="仿宋" w:eastAsia="仿宋" w:cs="仿宋"/>
          <w:sz w:val="30"/>
          <w:szCs w:val="30"/>
        </w:rPr>
        <w:t xml:space="preserve">                              2017年 5月25日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BF74D3"/>
    <w:rsid w:val="000B7C55"/>
    <w:rsid w:val="00105B21"/>
    <w:rsid w:val="00210115"/>
    <w:rsid w:val="00362804"/>
    <w:rsid w:val="003916FF"/>
    <w:rsid w:val="0055628B"/>
    <w:rsid w:val="00894FC4"/>
    <w:rsid w:val="00A35402"/>
    <w:rsid w:val="00D94E45"/>
    <w:rsid w:val="00DC273B"/>
    <w:rsid w:val="00ED18EC"/>
    <w:rsid w:val="00F356FB"/>
    <w:rsid w:val="00F4352D"/>
    <w:rsid w:val="00F72BF0"/>
    <w:rsid w:val="033B476B"/>
    <w:rsid w:val="03FE6E70"/>
    <w:rsid w:val="043F4262"/>
    <w:rsid w:val="05BF74D3"/>
    <w:rsid w:val="074E7F4B"/>
    <w:rsid w:val="07514400"/>
    <w:rsid w:val="0A231F9A"/>
    <w:rsid w:val="0B05501D"/>
    <w:rsid w:val="0CF95655"/>
    <w:rsid w:val="0E266A56"/>
    <w:rsid w:val="0F44673F"/>
    <w:rsid w:val="102247B7"/>
    <w:rsid w:val="10B0600F"/>
    <w:rsid w:val="10B32EA1"/>
    <w:rsid w:val="11047936"/>
    <w:rsid w:val="11763E57"/>
    <w:rsid w:val="11ED79A1"/>
    <w:rsid w:val="13E1623D"/>
    <w:rsid w:val="13E70D0D"/>
    <w:rsid w:val="14693FD9"/>
    <w:rsid w:val="15BB5592"/>
    <w:rsid w:val="15CF4B37"/>
    <w:rsid w:val="1768314C"/>
    <w:rsid w:val="17895AFD"/>
    <w:rsid w:val="18171C0B"/>
    <w:rsid w:val="182A3EA5"/>
    <w:rsid w:val="18511DF4"/>
    <w:rsid w:val="19475851"/>
    <w:rsid w:val="1C7A44DD"/>
    <w:rsid w:val="1D3365E8"/>
    <w:rsid w:val="1E6F3DDD"/>
    <w:rsid w:val="21D35ADC"/>
    <w:rsid w:val="222335B0"/>
    <w:rsid w:val="231C1D1B"/>
    <w:rsid w:val="26E62DFD"/>
    <w:rsid w:val="29AB1BC7"/>
    <w:rsid w:val="2AF02F28"/>
    <w:rsid w:val="2BA92C3D"/>
    <w:rsid w:val="2CED38C5"/>
    <w:rsid w:val="30136AD4"/>
    <w:rsid w:val="305A119D"/>
    <w:rsid w:val="315D345D"/>
    <w:rsid w:val="31941938"/>
    <w:rsid w:val="3248038F"/>
    <w:rsid w:val="33EC0E11"/>
    <w:rsid w:val="346B5352"/>
    <w:rsid w:val="35095EC8"/>
    <w:rsid w:val="37931200"/>
    <w:rsid w:val="39B46E04"/>
    <w:rsid w:val="3A4059EF"/>
    <w:rsid w:val="3AFC496B"/>
    <w:rsid w:val="3BBE3068"/>
    <w:rsid w:val="3BE47C48"/>
    <w:rsid w:val="3C407BF3"/>
    <w:rsid w:val="3ED46792"/>
    <w:rsid w:val="3FB608F7"/>
    <w:rsid w:val="42131206"/>
    <w:rsid w:val="4243472F"/>
    <w:rsid w:val="42645286"/>
    <w:rsid w:val="429F661A"/>
    <w:rsid w:val="43683F84"/>
    <w:rsid w:val="43766C9E"/>
    <w:rsid w:val="46177FBE"/>
    <w:rsid w:val="465F44F9"/>
    <w:rsid w:val="47910F47"/>
    <w:rsid w:val="48227946"/>
    <w:rsid w:val="4920425A"/>
    <w:rsid w:val="49527C84"/>
    <w:rsid w:val="49D07A6D"/>
    <w:rsid w:val="4A2950B7"/>
    <w:rsid w:val="4AF642B7"/>
    <w:rsid w:val="4B866B6E"/>
    <w:rsid w:val="4F0529D0"/>
    <w:rsid w:val="4FEC3DA8"/>
    <w:rsid w:val="54395F88"/>
    <w:rsid w:val="557D1147"/>
    <w:rsid w:val="56061EB1"/>
    <w:rsid w:val="56A821A5"/>
    <w:rsid w:val="57CA784E"/>
    <w:rsid w:val="58646CB9"/>
    <w:rsid w:val="598D6411"/>
    <w:rsid w:val="599C3D21"/>
    <w:rsid w:val="5A7843BD"/>
    <w:rsid w:val="5B786C7A"/>
    <w:rsid w:val="5B8745C3"/>
    <w:rsid w:val="5C4273A3"/>
    <w:rsid w:val="5DC53265"/>
    <w:rsid w:val="5E2C25D4"/>
    <w:rsid w:val="5E5A6878"/>
    <w:rsid w:val="5E693D9E"/>
    <w:rsid w:val="5E776EC6"/>
    <w:rsid w:val="5F0F6647"/>
    <w:rsid w:val="64DC6D4C"/>
    <w:rsid w:val="67E46273"/>
    <w:rsid w:val="67E933D2"/>
    <w:rsid w:val="683943B6"/>
    <w:rsid w:val="69B56E49"/>
    <w:rsid w:val="69EB505F"/>
    <w:rsid w:val="6C1816FD"/>
    <w:rsid w:val="6C7C5327"/>
    <w:rsid w:val="6CC65113"/>
    <w:rsid w:val="6DCA68A5"/>
    <w:rsid w:val="6EC4746E"/>
    <w:rsid w:val="6EF24C68"/>
    <w:rsid w:val="6F632968"/>
    <w:rsid w:val="6FAA6596"/>
    <w:rsid w:val="70522B38"/>
    <w:rsid w:val="72BE57C0"/>
    <w:rsid w:val="73F95166"/>
    <w:rsid w:val="746179BD"/>
    <w:rsid w:val="75347D67"/>
    <w:rsid w:val="77760C62"/>
    <w:rsid w:val="780F7AED"/>
    <w:rsid w:val="78D85839"/>
    <w:rsid w:val="78EB1104"/>
    <w:rsid w:val="79114C8B"/>
    <w:rsid w:val="796456B8"/>
    <w:rsid w:val="7B013C1F"/>
    <w:rsid w:val="7B6549A7"/>
    <w:rsid w:val="7C2410DB"/>
    <w:rsid w:val="7CC25689"/>
    <w:rsid w:val="7CC7500D"/>
    <w:rsid w:val="7DB37C0A"/>
    <w:rsid w:val="7E01270A"/>
    <w:rsid w:val="7F2C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458</Words>
  <Characters>2612</Characters>
  <Lines>21</Lines>
  <Paragraphs>6</Paragraphs>
  <ScaleCrop>false</ScaleCrop>
  <LinksUpToDate>false</LinksUpToDate>
  <CharactersWithSpaces>3064</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2017-05-23T08:08:00Z</dcterms:created>
  <dc:creator>Administrator</dc:creator>
  <cp:lastModifiedBy>Administrator</cp:lastModifiedBy>
  <dcterms:modified xsi:type="dcterms:W3CDTF">2017-07-21T07:55:12Z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