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230"/>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农技中心</w:t>
      </w: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年度部门决算专业名词解释</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.2060199其他科学技术管理事务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反映科学技术</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中除行政运行、一般行政管理事务、机关服务以外其他用于科学技术管理事务方面的支出。</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.2060701机构运行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反映科普事业单位的基本支出。</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.2060799其他科学技术普及支出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反映除上述项目以外其他用于科学技术普及方面的支出。</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208050</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机关事业单位养老保险缴费支出：</w:t>
      </w:r>
      <w:r>
        <w:rPr>
          <w:rFonts w:hint="eastAsia" w:ascii="仿宋_GB2312" w:hAnsi="仿宋_GB2312" w:eastAsia="仿宋_GB2312" w:cs="仿宋_GB2312"/>
          <w:color w:val="auto"/>
          <w:sz w:val="32"/>
          <w:szCs w:val="32"/>
          <w:lang w:val="en-US" w:eastAsia="zh-CN"/>
        </w:rPr>
        <w:t>反映机关事业单位实施养老保险制度由单位缴纳的基本养老保险费支出。</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财政拨款收入：</w:t>
      </w:r>
      <w:r>
        <w:rPr>
          <w:rFonts w:hint="eastAsia" w:ascii="仿宋_GB2312" w:hAnsi="仿宋_GB2312" w:eastAsia="仿宋_GB2312" w:cs="仿宋_GB2312"/>
          <w:color w:val="auto"/>
          <w:sz w:val="32"/>
          <w:szCs w:val="32"/>
        </w:rPr>
        <w:t>指省级财政当年拨付的资金。</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6.</w:t>
      </w:r>
      <w:r>
        <w:rPr>
          <w:rFonts w:hint="eastAsia" w:ascii="仿宋_GB2312" w:hAnsi="仿宋_GB2312" w:eastAsia="仿宋_GB2312" w:cs="仿宋_GB2312"/>
          <w:b/>
          <w:color w:val="auto"/>
          <w:sz w:val="32"/>
          <w:szCs w:val="32"/>
        </w:rPr>
        <w:t>其他收入</w:t>
      </w:r>
      <w:r>
        <w:rPr>
          <w:rFonts w:hint="eastAsia" w:ascii="仿宋_GB2312" w:hAnsi="仿宋_GB2312" w:eastAsia="仿宋_GB2312" w:cs="仿宋_GB2312"/>
          <w:color w:val="auto"/>
          <w:sz w:val="32"/>
          <w:szCs w:val="32"/>
        </w:rPr>
        <w:t>：指事业单位在“财政拨款收入”、“事业收入”、“经营收入”、“附属单位上缴收入”之外取得的收入。</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7.</w:t>
      </w:r>
      <w:r>
        <w:rPr>
          <w:rFonts w:hint="eastAsia" w:ascii="仿宋_GB2312" w:hAnsi="仿宋_GB2312" w:eastAsia="仿宋_GB2312" w:cs="仿宋_GB2312"/>
          <w:b/>
          <w:color w:val="auto"/>
          <w:sz w:val="32"/>
          <w:szCs w:val="32"/>
        </w:rPr>
        <w:t>基本支出</w:t>
      </w:r>
      <w:r>
        <w:rPr>
          <w:rFonts w:hint="eastAsia" w:ascii="仿宋_GB2312" w:hAnsi="仿宋_GB2312" w:eastAsia="仿宋_GB2312" w:cs="仿宋_GB2312"/>
          <w:color w:val="auto"/>
          <w:sz w:val="32"/>
          <w:szCs w:val="32"/>
        </w:rPr>
        <w:t>：指为保障机构正常运转、完成日常工作任务而发生的人员支出和公用支出。</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rPr>
        <w:t>项目支出</w:t>
      </w:r>
      <w:r>
        <w:rPr>
          <w:rFonts w:hint="eastAsia" w:ascii="仿宋_GB2312" w:hAnsi="仿宋_GB2312" w:eastAsia="仿宋_GB2312" w:cs="仿宋_GB2312"/>
          <w:color w:val="auto"/>
          <w:sz w:val="32"/>
          <w:szCs w:val="32"/>
        </w:rPr>
        <w:t>：指在基本支出之外为完成相关行政任务和事业发展目标所发生的支出。</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9.</w:t>
      </w:r>
      <w:r>
        <w:rPr>
          <w:rFonts w:hint="eastAsia" w:ascii="仿宋_GB2312" w:hAnsi="仿宋_GB2312" w:eastAsia="仿宋_GB2312" w:cs="仿宋_GB2312"/>
          <w:b/>
          <w:color w:val="auto"/>
          <w:sz w:val="32"/>
          <w:szCs w:val="32"/>
        </w:rPr>
        <w:t>“三公”经费</w:t>
      </w:r>
      <w:r>
        <w:rPr>
          <w:rFonts w:hint="eastAsia" w:ascii="仿宋_GB2312" w:hAnsi="仿宋_GB2312" w:eastAsia="仿宋_GB2312" w:cs="仿宋_GB2312"/>
          <w:color w:val="auto"/>
          <w:sz w:val="32"/>
          <w:szCs w:val="32"/>
        </w:rPr>
        <w:t>：纳入省级财政预决算管理的“三公”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bookmarkStart w:id="0" w:name="_GoBack"/>
      <w:bookmarkEnd w:id="0"/>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color w:val="auto"/>
          <w:sz w:val="32"/>
          <w:szCs w:val="32"/>
        </w:rPr>
      </w:pPr>
    </w:p>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F5C7A"/>
    <w:rsid w:val="167F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2021-09-06T02:41:00Z</dcterms:created>
  <dc:creator>Administrator</dc:creator>
  <cp:lastModifiedBy>Administrator</cp:lastModifiedBy>
  <dcterms:modified xsi:type="dcterms:W3CDTF">2021-09-06T02:44:38Z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