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spacing w:beforeLines="30" w:afterLines="3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湖北省科普惠民社区（村）建设标准</w:t>
      </w:r>
    </w:p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全面贯彻落实习近平总书记关于科普和科学素质建设的重要论述，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深入实施《湖北省全民科学素质行动规划纲要实施方案（2021-2025年）》，加强科普进社区、进农村阵地建设，助力新时代文明实践和乡村振兴，提高全民科学素质，省科协设立“湖北省科普惠民社区（村）”建设项目。为规范湖北省科普惠民社区（村）创建和管理，制定建设标准如下：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一、组织保障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1.社区（村）党组织和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领导重视科普工作，把科普工作纳入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社区（村）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议事日程。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2.将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社区（村）科普工作纳入年度工作目标考核和精神文明创建计划，社区（村）领导积极带头参加各类科普活动。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3.有开展科普活动的基本经费保障，积极争取社会多元化投入，支持科普事业持续健康发展。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社区（村）科普工作具有区域代表性和特色，对周边有示范和辐射带动作用。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二、制度建设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社区（村）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建有完善的科普规章制度，制定有科普工作年度计划和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中长期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规划，科普工作文件、资料管理规范。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2.建立科普工作激励机制，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志愿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服务工作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做到有组织、有活动、有培训、有考核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、有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激励。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及时为科技志愿服务者开具服务证明、做好记录、体现志愿服务价值。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3.制定社区（村）科技志愿服务清单。坚持“实际、实用、实效”原则，公开科技志愿者技能、特长和提供服务时间等信息，与群众需求有机结合，实现供需有效对接。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三、队伍建设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1.成立由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社区（村）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分管领导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同志负责的科普小组，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有相对固定专兼职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科普工作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开展科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技志愿服务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助力新时代文明实践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和乡村振兴，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建立有20人以上的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社区（村）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科技志愿服务队伍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，吸纳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科技人才、科普专家开展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“智惠行动”，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满足人民群众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需求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培训培养辖区内有知识文化、专业技能和奉献精神的青壮年和妇女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加强基层科普人才储备和后备队伍建设。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四、科普设施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在社区（村）党群服务中心设立科普阅览室、科普培训室、科普宣传栏，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在有条件的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社区（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建设科普广场，设置科普大屏，拓展科普宣传阵地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2.加强科普基础设施建设。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社区（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有50平方米以上科普活动室（站），有10延米以上的科普橱窗（画廊），并每季度更换科普宣传内容不少于1次，有科普图书专柜且科普图书的数量不少于1000册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3.建设科普信息化平台。依托社区（村）宣传网络和科普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/>
        </w:rPr>
        <w:t>e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站等平台，开辟科普宣传栏目，链接科普中国和科普湖北优质科普资源，提升科普信息化宣传能力和水平。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五、科普活动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广泛开展贴近居民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（村民）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生活、内容丰富、形式多样、特色鲜明的科普活动，每年开展活动不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少于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次。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2.结合全国科普日、科技活动周、科普进社区、进农村等重要节点，开展科技培训、科普报告、农技服务、义诊咨询、应急科普、青少年科技教育等公益性服务，促进全民科学素质提升和城乡精神文明建设。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3.利用各类宣传媒介，持续加大科普工作宣传力度，营造良好科普氛围。</w:t>
      </w:r>
    </w:p>
    <w:p>
      <w:pPr>
        <w:pStyle w:val="4"/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六、工作成效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居民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（村民）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科普意识明显增强，科学文化素质明显提高，科学、文明、健康的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生产和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生活方式深入人心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社区（村）科技志愿服务助力新时代文明实践和乡村振兴成效显著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居民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（村民）学科学、用科学蔚然成风，两个文明建设协调发展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3.崇尚科学、反对迷信，管理有序、文明和谐，辖区内无封建迷信、邪教、伪科学活动和群体性治安事件发生。（此为一票否决项）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fldChar w:fldCharType="begin"/>
                </w:r>
                <w:r>
                  <w:rPr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sz w:val="30"/>
                    <w:szCs w:val="30"/>
                  </w:rPr>
                  <w:fldChar w:fldCharType="separate"/>
                </w:r>
                <w:r>
                  <w:rPr>
                    <w:sz w:val="30"/>
                    <w:szCs w:val="30"/>
                  </w:rPr>
                  <w:t>1</w:t>
                </w:r>
                <w:r>
                  <w:rPr>
                    <w:sz w:val="30"/>
                    <w:szCs w:val="3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2021-10-28T09:28:00Z</dcterms:created>
  <dc:creator>thtf</dc:creator>
  <cp:lastModifiedBy>foolbody</cp:lastModifiedBy>
  <cp:lastPrinted>2021-11-04T09:58:12Z</cp:lastPrinted>
  <dcterms:modified xsi:type="dcterms:W3CDTF">2022-11-24T09:19:16Z</dcterms:modified>
  <dc:title>湖北省科普惠民社区（村）建设标准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